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Garamond" w:cs="Garamond" w:eastAsia="Garamond" w:hAnsi="Garamond"/>
          <w:color w:val="000000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32"/>
          <w:szCs w:val="32"/>
          <w:rtl w:val="0"/>
        </w:rPr>
        <w:t xml:space="preserve">STAZIONE APPALTANTE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Garamond" w:cs="Garamond" w:eastAsia="Garamond" w:hAnsi="Garamond"/>
          <w:color w:val="000000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32"/>
          <w:szCs w:val="32"/>
          <w:rtl w:val="0"/>
        </w:rPr>
        <w:t xml:space="preserve">COMUNE DI </w:t>
      </w:r>
      <w:r w:rsidDel="00000000" w:rsidR="00000000" w:rsidRPr="00000000">
        <w:rPr>
          <w:rFonts w:ascii="Garamond" w:cs="Garamond" w:eastAsia="Garamond" w:hAnsi="Garamond"/>
          <w:b w:val="1"/>
          <w:sz w:val="32"/>
          <w:szCs w:val="32"/>
          <w:rtl w:val="0"/>
        </w:rPr>
        <w:t xml:space="preserve">SANT’ANTIMO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Garamond" w:cs="Garamond" w:eastAsia="Garamond" w:hAnsi="Garamond"/>
          <w:color w:val="000000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i w:val="1"/>
          <w:sz w:val="32"/>
          <w:szCs w:val="32"/>
          <w:rtl w:val="0"/>
        </w:rPr>
        <w:t xml:space="preserve">Città Metropolitana di Napoli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Garamond" w:cs="Garamond" w:eastAsia="Garamond" w:hAnsi="Garamond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32"/>
          <w:szCs w:val="32"/>
          <w:rtl w:val="0"/>
        </w:rPr>
        <w:t xml:space="preserve">Servizio Pubblica Istruzione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Garamond" w:cs="Garamond" w:eastAsia="Garamond" w:hAnsi="Garamond"/>
          <w:color w:val="000000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32"/>
          <w:szCs w:val="32"/>
          <w:rtl w:val="0"/>
        </w:rPr>
        <w:t xml:space="preserve">Via Roma 1</w:t>
      </w:r>
      <w:r w:rsidDel="00000000" w:rsidR="00000000" w:rsidRPr="00000000">
        <w:rPr>
          <w:rFonts w:ascii="Garamond" w:cs="Garamond" w:eastAsia="Garamond" w:hAnsi="Garamond"/>
          <w:sz w:val="32"/>
          <w:szCs w:val="32"/>
          <w:rtl w:val="0"/>
        </w:rPr>
        <w:t xml:space="preserve">68 – Sant’Antimo (NA)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3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31"/>
        <w:tblGridChange w:id="0">
          <w:tblGrid>
            <w:gridCol w:w="100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57" w:hanging="11"/>
              <w:jc w:val="center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BANDO DI GARA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57" w:hanging="11"/>
              <w:jc w:val="both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Ai sensi dell’art.60 del decreto legislativo n. 50/2016 ss.mm.ii., si indice Procedura Aperta, interamente telematica, con aggiudicazione secondo il criterio dell’offerta economicamente più vantaggiosa.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57" w:hanging="11"/>
              <w:jc w:val="center"/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Oggetto: “Servizio di refezione scolastica a.s. 2022-2023”</w:t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57" w:hanging="11"/>
              <w:jc w:val="center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CIG: 9351831F10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Garamond" w:cs="Garamond" w:eastAsia="Garamond" w:hAnsi="Garamond"/>
          <w:b w:val="1"/>
          <w:color w:val="000000"/>
          <w:sz w:val="24"/>
          <w:szCs w:val="24"/>
          <w:rtl w:val="0"/>
        </w:rPr>
        <w:t xml:space="preserve">SEZIONE I: AMMINISTRAZIONE AGGIUDICATRICE / STAZIONE APPALTANTE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I.1) STAZIONE APPALTANTE- DENOMINAZIONE INDIRIZZI E PUNTI DI CONTATTO</w:t>
      </w:r>
    </w:p>
    <w:tbl>
      <w:tblPr>
        <w:tblStyle w:val="Table2"/>
        <w:tblW w:w="10188.0" w:type="dxa"/>
        <w:jc w:val="left"/>
        <w:tblInd w:w="0.0" w:type="dxa"/>
        <w:tblLayout w:type="fixed"/>
        <w:tblLook w:val="0000"/>
      </w:tblPr>
      <w:tblGrid>
        <w:gridCol w:w="7070"/>
        <w:gridCol w:w="3118"/>
        <w:tblGridChange w:id="0">
          <w:tblGrid>
            <w:gridCol w:w="7070"/>
            <w:gridCol w:w="3118"/>
          </w:tblGrid>
        </w:tblGridChange>
      </w:tblGrid>
      <w:tr>
        <w:trPr>
          <w:cantSplit w:val="0"/>
          <w:trHeight w:val="44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Denominazione ufficiale: COMUNE DI SANT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’ANTIMO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Sede dell’Amministrazione: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Via Roma 168 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– 80029 – Sant’Antimo (NA)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Persone di contatto: R.U.P. Paolo Calabrò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Tel.: 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081 8329407-17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Indirizzi Internet (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indirizzo generale dell'amministrazione aggiudicatrice/ente aggiudicatore):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Garamond" w:cs="Garamond" w:eastAsia="Garamond" w:hAnsi="Garamond"/>
                  <w:color w:val="0000ff"/>
                  <w:sz w:val="24"/>
                  <w:szCs w:val="24"/>
                  <w:u w:val="single"/>
                  <w:rtl w:val="0"/>
                </w:rPr>
                <w:t xml:space="preserve">www.comune.santantimo.na.it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Ulteriori informazioni sono disponibili presso i punti di contatto sopra indicati.</w:t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La documentazione di gara è disponibile presso i punti di contatto sopra indicati</w:t>
            </w:r>
          </w:p>
        </w:tc>
      </w:tr>
    </w:tbl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I.2) ASMEL Consortile S.c. a r.l. - DENOMINAZIONE INDIRIZZI E PUNTI DI CONTATTO</w:t>
      </w:r>
    </w:p>
    <w:tbl>
      <w:tblPr>
        <w:tblStyle w:val="Table3"/>
        <w:tblW w:w="10188.0" w:type="dxa"/>
        <w:jc w:val="left"/>
        <w:tblInd w:w="0.0" w:type="dxa"/>
        <w:tblLayout w:type="fixed"/>
        <w:tblLook w:val="0000"/>
      </w:tblPr>
      <w:tblGrid>
        <w:gridCol w:w="7070"/>
        <w:gridCol w:w="3118"/>
        <w:tblGridChange w:id="0">
          <w:tblGrid>
            <w:gridCol w:w="7070"/>
            <w:gridCol w:w="3118"/>
          </w:tblGrid>
        </w:tblGridChange>
      </w:tblGrid>
      <w:tr>
        <w:trPr>
          <w:cantSplit w:val="0"/>
          <w:trHeight w:val="6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Denominazione ufficiale: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ASMEL Consortile S.c. a r.l.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397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+39 800955054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Indirizzi Internet (i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ndirizzo generale della ASMEL Consortile S.c. a r.l.): 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ff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ff"/>
                <w:sz w:val="24"/>
                <w:szCs w:val="24"/>
                <w:u w:val="single"/>
                <w:rtl w:val="0"/>
              </w:rPr>
              <w:t xml:space="preserve">www.</w:t>
            </w:r>
            <w:hyperlink r:id="rId7">
              <w:r w:rsidDel="00000000" w:rsidR="00000000" w:rsidRPr="00000000">
                <w:rPr>
                  <w:rFonts w:ascii="Garamond" w:cs="Garamond" w:eastAsia="Garamond" w:hAnsi="Garamond"/>
                  <w:color w:val="0000ff"/>
                  <w:sz w:val="24"/>
                  <w:szCs w:val="24"/>
                  <w:u w:val="single"/>
                  <w:rtl w:val="0"/>
                </w:rPr>
                <w:t xml:space="preserve">asmecomm.it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rFonts w:ascii="Garamond" w:cs="Garamond" w:eastAsia="Garamond" w:hAnsi="Garamond"/>
                <w:color w:val="0000ff"/>
                <w:sz w:val="24"/>
                <w:szCs w:val="24"/>
                <w:highlight w:val="yellow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Ulteriori informazioni sono disponibili presso i punti di contatto sopra indicati.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La documentazione di gara è disponibile presso i punti di contatto sopra indicati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NB Si precisa che l’indirizzo piattaforma@asmepec.it non è abilitato alla ricezione delle pec, pertanto per qualsiasi comunicazione fare riferimento all’indirizzo sopraindicato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bookmarkStart w:colFirst="0" w:colLast="0" w:name="_1fob9te" w:id="2"/>
      <w:bookmarkEnd w:id="2"/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I.3) COMUNICAZIONE  </w:t>
      </w:r>
    </w:p>
    <w:tbl>
      <w:tblPr>
        <w:tblStyle w:val="Table4"/>
        <w:tblW w:w="10188.0" w:type="dxa"/>
        <w:jc w:val="left"/>
        <w:tblInd w:w="0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I documenti di gara sono disponibili per un accesso gratuito, illimitato e diretto presso: </w:t>
            </w:r>
            <w:hyperlink r:id="rId8">
              <w:r w:rsidDel="00000000" w:rsidR="00000000" w:rsidRPr="00000000">
                <w:rPr>
                  <w:rFonts w:ascii="Garamond" w:cs="Garamond" w:eastAsia="Garamond" w:hAnsi="Garamond"/>
                  <w:color w:val="0000ff"/>
                  <w:sz w:val="24"/>
                  <w:szCs w:val="24"/>
                  <w:u w:val="single"/>
                  <w:rtl w:val="0"/>
                </w:rPr>
                <w:t xml:space="preserve">www.asmecomm.it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ff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Le offerte vanno inviate al seguente indirizzo:</w:t>
            </w:r>
            <w:r w:rsidDel="00000000" w:rsidR="00000000" w:rsidRPr="00000000">
              <w:rPr>
                <w:rFonts w:ascii="Garamond" w:cs="Garamond" w:eastAsia="Garamond" w:hAnsi="Garamond"/>
                <w:i w:val="1"/>
                <w:color w:val="000000"/>
                <w:sz w:val="24"/>
                <w:szCs w:val="24"/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rFonts w:ascii="Garamond" w:cs="Garamond" w:eastAsia="Garamond" w:hAnsi="Garamond"/>
                  <w:color w:val="0000ff"/>
                  <w:sz w:val="24"/>
                  <w:szCs w:val="24"/>
                  <w:u w:val="single"/>
                  <w:rtl w:val="0"/>
                </w:rPr>
                <w:t xml:space="preserve">www.asmecomm.it</w:t>
              </w:r>
            </w:hyperlink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color w:val="0000ff"/>
                <w:sz w:val="24"/>
                <w:szCs w:val="24"/>
                <w:u w:val="single"/>
                <w:rtl w:val="0"/>
              </w:rPr>
              <w:t xml:space="preserve">- Sezione “Procedura in corso”</w:t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4"/>
          <w:szCs w:val="24"/>
          <w:rtl w:val="0"/>
        </w:rPr>
        <w:t xml:space="preserve">SEZIONE II: OGGETTO DELL’APPALTO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II.1) DESCRIZIONE</w:t>
      </w:r>
    </w:p>
    <w:tbl>
      <w:tblPr>
        <w:tblStyle w:val="Table5"/>
        <w:tblW w:w="10188.0" w:type="dxa"/>
        <w:jc w:val="left"/>
        <w:tblInd w:w="0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II.1.1)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Denominazione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: Procedura aperta telematica per l’affidamento dell’appalto del servizio 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di mensa scolastica – a.s. 2022-2023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both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II.1.2) Tipo di appalto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: Appalto di servizi.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II.1.3) Luogo di esecuzione: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Codice NUTS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ITF33- Comune di Sant’Antimo (NA)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II.1.4) Breve descrizione: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l’appalto ha per oggetto l’esecuzione di servizi di 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ristorazione scolastica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sulla base del Capitolato Speciale d’Appalto.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II.1.5) Codice CPV principale: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55523100-3 Servizi di mensa scolastica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II.1.6) Suddivisione in lotti: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l’appalto non è suddiviso in lotti.</w:t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II.2) QUANTITATIVO O ENTITÀ DELL’APPALTO</w:t>
      </w:r>
    </w:p>
    <w:tbl>
      <w:tblPr>
        <w:tblStyle w:val="Table6"/>
        <w:tblW w:w="10083.0" w:type="dxa"/>
        <w:jc w:val="left"/>
        <w:tblInd w:w="-34.0" w:type="dxa"/>
        <w:tblLayout w:type="fixed"/>
        <w:tblLook w:val="0000"/>
      </w:tblPr>
      <w:tblGrid>
        <w:gridCol w:w="10083"/>
        <w:tblGridChange w:id="0">
          <w:tblGrid>
            <w:gridCol w:w="100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II.2.1) Quantitativo o entità totale dell’appalto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€ 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465.664,32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oltre IVA.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II.2.2) Opzioni/rinnovo: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nessuna opzione e/o rinnovo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II.2.3)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Durata dell’appalto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: anni 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2022-2023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360" w:lineRule="auto"/>
        <w:jc w:val="both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4"/>
          <w:szCs w:val="24"/>
          <w:rtl w:val="0"/>
        </w:rPr>
        <w:t xml:space="preserve">SEZIONE III: INFORMAZIONI DI CARATTERE GIURIDICO, ECONOMICO, FINANZIARIO E TECNICO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III.1) CONDIZIONI RELATIVE ALL’APPALTO </w:t>
      </w:r>
    </w:p>
    <w:tbl>
      <w:tblPr>
        <w:tblStyle w:val="Table7"/>
        <w:tblW w:w="10188.0" w:type="dxa"/>
        <w:jc w:val="left"/>
        <w:tblInd w:w="0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709" w:hanging="709"/>
              <w:jc w:val="both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III.1.1)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Cauzioni e garanzie richieste: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cfr. Disciplinare di gara</w:t>
            </w:r>
          </w:p>
        </w:tc>
      </w:tr>
    </w:tbl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III.2) CONDIZIONI DI PARTECIPAZIONE</w:t>
      </w:r>
    </w:p>
    <w:tbl>
      <w:tblPr>
        <w:tblStyle w:val="Table8"/>
        <w:tblW w:w="10188.0" w:type="dxa"/>
        <w:jc w:val="left"/>
        <w:tblInd w:w="0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III.2.1)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Situazione personale degli operatori economici, inclusi i requisiti relativi all'iscrizione nell'albo professionale o nel registro commerciale: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cfr. Disciplinare di gara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III.2.2) Capacità economica e finanziaria: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cfr. Disciplinare di gara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III.2.3) Capacità tecnica: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cfr. Disciplinare di gara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84"/>
              </w:tabs>
              <w:spacing w:line="360" w:lineRule="auto"/>
              <w:jc w:val="both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III.2.4) Avvalimento: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cfr. Disciplinare di gara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84"/>
              </w:tabs>
              <w:spacing w:line="360" w:lineRule="auto"/>
              <w:jc w:val="both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III.2.5) Subappalto: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cfr. Disciplinare di gara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84"/>
              </w:tabs>
              <w:spacing w:line="360" w:lineRule="auto"/>
              <w:jc w:val="both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III.2.6) Sopralluogo: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cfr. Disciplinare di gara</w:t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color w:val="000000"/>
          <w:sz w:val="24"/>
          <w:szCs w:val="24"/>
          <w:rtl w:val="0"/>
        </w:rPr>
        <w:t xml:space="preserve">SEZIONE IV: PROCEDURA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IV.1) TIPO DI PROCEDURA</w:t>
      </w:r>
    </w:p>
    <w:tbl>
      <w:tblPr>
        <w:tblStyle w:val="Table9"/>
        <w:tblW w:w="10188.0" w:type="dxa"/>
        <w:jc w:val="left"/>
        <w:tblInd w:w="0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IV.1) Procedura aperta telematica ai sensi dell’articolo 60 del D.Lgs.n.50/2016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indetta con determina dirigenziale n. 118 del </w:t>
            </w: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highlight w:val="yellow"/>
                <w:rtl w:val="0"/>
              </w:rPr>
              <w:t xml:space="preserve">3 agosto 2022 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ai sensi dell’art.32, commi 2 e 3 del D.Lgs.n.50/2016</w:t>
            </w:r>
          </w:p>
        </w:tc>
      </w:tr>
    </w:tbl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IV.2 CRITERI DI AGGIUDICAZIONE </w:t>
      </w:r>
    </w:p>
    <w:tbl>
      <w:tblPr>
        <w:tblStyle w:val="Table10"/>
        <w:tblW w:w="10188.0" w:type="dxa"/>
        <w:jc w:val="left"/>
        <w:tblInd w:w="0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IV.2.1 Offerta economicamente più vantaggiosa di cui all’art. 95, comma 3 lettera a, del D. Lgs. n. 50/2016 e ss.mm.ii. (</w:t>
            </w: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vedi criteri indicati nel disciplinare di gara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rtl w:val="0"/>
              </w:rPr>
              <w:t xml:space="preserve">IV.2.2) Punteggi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La valutazione dell’offerta tecnica e dell’economica sarà effettuata in base ai seguenti punteggi:</w:t>
            </w:r>
          </w:p>
          <w:tbl>
            <w:tblPr>
              <w:tblStyle w:val="Table11"/>
              <w:tblW w:w="9918.0" w:type="dxa"/>
              <w:jc w:val="left"/>
              <w:tblLayout w:type="fixed"/>
              <w:tblLook w:val="0000"/>
            </w:tblPr>
            <w:tblGrid>
              <w:gridCol w:w="5547"/>
              <w:gridCol w:w="4371"/>
              <w:tblGridChange w:id="0">
                <w:tblGrid>
                  <w:gridCol w:w="5547"/>
                  <w:gridCol w:w="4371"/>
                </w:tblGrid>
              </w:tblGridChange>
            </w:tblGrid>
            <w:tr>
              <w:trPr>
                <w:cantSplit w:val="0"/>
                <w:trHeight w:val="38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4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59" w:lineRule="auto"/>
                    <w:ind w:right="35"/>
                    <w:jc w:val="center"/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  <w:rtl w:val="0"/>
                    </w:rPr>
                    <w:t xml:space="preserve">CRITERIO DI VALUTAZIONE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4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59" w:lineRule="auto"/>
                    <w:ind w:right="35"/>
                    <w:jc w:val="center"/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  <w:rtl w:val="0"/>
                    </w:rPr>
                    <w:t xml:space="preserve">PUNTEGGIO MASSIMO</w:t>
                  </w:r>
                </w:p>
              </w:tc>
            </w:tr>
            <w:tr>
              <w:trPr>
                <w:cantSplit w:val="0"/>
                <w:trHeight w:val="32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59" w:lineRule="auto"/>
                    <w:ind w:right="35"/>
                    <w:jc w:val="center"/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  <w:rtl w:val="0"/>
                    </w:rPr>
                    <w:t xml:space="preserve">Offerta tecnica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59" w:lineRule="auto"/>
                    <w:ind w:right="35"/>
                    <w:jc w:val="center"/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aramond" w:cs="Garamond" w:eastAsia="Garamond" w:hAnsi="Garamond"/>
                      <w:sz w:val="24"/>
                      <w:szCs w:val="24"/>
                      <w:rtl w:val="0"/>
                    </w:rPr>
                    <w:t xml:space="preserve">70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22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59" w:lineRule="auto"/>
                    <w:ind w:right="35"/>
                    <w:jc w:val="center"/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  <w:rtl w:val="0"/>
                    </w:rPr>
                    <w:t xml:space="preserve">Offerta economica (ribasso percentuale sull’importo a base di gara di cui al</w:t>
                  </w:r>
                  <w:r w:rsidDel="00000000" w:rsidR="00000000" w:rsidRPr="00000000">
                    <w:rPr>
                      <w:rFonts w:ascii="Garamond" w:cs="Garamond" w:eastAsia="Garamond" w:hAnsi="Garamond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 punto 3 del disciplinare di gara</w:t>
                  </w:r>
                  <w:r w:rsidDel="00000000" w:rsidR="00000000" w:rsidRPr="00000000"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  <w:rtl w:val="0"/>
                    </w:rPr>
                    <w:t xml:space="preserve">)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59" w:lineRule="auto"/>
                    <w:ind w:right="35"/>
                    <w:jc w:val="center"/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aramond" w:cs="Garamond" w:eastAsia="Garamond" w:hAnsi="Garamond"/>
                      <w:sz w:val="24"/>
                      <w:szCs w:val="24"/>
                      <w:rtl w:val="0"/>
                    </w:rPr>
                    <w:t xml:space="preserve">30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4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5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59" w:lineRule="auto"/>
                    <w:ind w:right="35"/>
                    <w:jc w:val="center"/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  <w:rtl w:val="0"/>
                    </w:rPr>
                    <w:t xml:space="preserve">TOTALE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d9d9d9" w:val="clear"/>
                  <w:vAlign w:val="center"/>
                </w:tcPr>
                <w:p w:rsidR="00000000" w:rsidDel="00000000" w:rsidP="00000000" w:rsidRDefault="00000000" w:rsidRPr="00000000" w14:paraId="0000005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59" w:lineRule="auto"/>
                    <w:ind w:right="35"/>
                    <w:jc w:val="center"/>
                    <w:rPr>
                      <w:rFonts w:ascii="Garamond" w:cs="Garamond" w:eastAsia="Garamond" w:hAnsi="Garamond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aramond" w:cs="Garamond" w:eastAsia="Garamond" w:hAnsi="Garamond"/>
                      <w:b w:val="1"/>
                      <w:color w:val="000000"/>
                      <w:sz w:val="24"/>
                      <w:szCs w:val="24"/>
                      <w:rtl w:val="0"/>
                    </w:rPr>
                    <w:t xml:space="preserve">100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Il tutto meglio specificato al paragrafo 18 del Disciplinare di gara.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bookmarkStart w:colFirst="0" w:colLast="0" w:name="_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IV.3) TERMINE PER IL RICEVIMENTO OFFERTE O DOMANDE DI PARTECIPAZIONE:</w:t>
      </w:r>
    </w:p>
    <w:tbl>
      <w:tblPr>
        <w:tblStyle w:val="Table12"/>
        <w:tblW w:w="10065.0" w:type="dxa"/>
        <w:jc w:val="left"/>
        <w:tblInd w:w="-147.0" w:type="dxa"/>
        <w:tblLayout w:type="fixed"/>
        <w:tblLook w:val="0000"/>
      </w:tblPr>
      <w:tblGrid>
        <w:gridCol w:w="7225"/>
        <w:gridCol w:w="1564"/>
        <w:gridCol w:w="1276"/>
        <w:tblGridChange w:id="0">
          <w:tblGrid>
            <w:gridCol w:w="7225"/>
            <w:gridCol w:w="1564"/>
            <w:gridCol w:w="1276"/>
          </w:tblGrid>
        </w:tblGridChange>
      </w:tblGrid>
      <w:tr>
        <w:trPr>
          <w:cantSplit w:val="0"/>
          <w:trHeight w:val="55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TIMING DI GARA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ind w:left="7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ORARIO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Data di pubblicazione della gara in piattaforma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05/08/2022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Termine ultimo per la richiesta di chiarimenti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08/09/2022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12:00:00</w:t>
            </w:r>
          </w:p>
        </w:tc>
      </w:tr>
      <w:tr>
        <w:trPr>
          <w:cantSplit w:val="0"/>
          <w:trHeight w:val="6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Fine periodo per il caricamento telematico della Documentazione Amministrativa, Tecnica ed Economica firmata digitalmente.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15/09/2022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12:00:00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ind w:left="14" w:firstLine="0"/>
              <w:rPr/>
            </w:pPr>
            <w:r w:rsidDel="00000000" w:rsidR="00000000" w:rsidRPr="00000000">
              <w:rPr>
                <w:rtl w:val="0"/>
              </w:rPr>
              <w:t xml:space="preserve">Apertura, in seduta pubblica, della Busta Telematica della Documentazione Amministrativa ed ammissione concorrenti.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30/09/2022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15:00:00</w:t>
            </w:r>
          </w:p>
        </w:tc>
      </w:tr>
    </w:tbl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7" w:right="41" w:firstLine="0"/>
        <w:rPr>
          <w:rFonts w:ascii="Garamond" w:cs="Garamond" w:eastAsia="Garamond" w:hAnsi="Garamond"/>
          <w:color w:val="000000"/>
          <w:sz w:val="24"/>
          <w:szCs w:val="24"/>
        </w:rPr>
      </w:pPr>
      <w:bookmarkStart w:colFirst="0" w:colLast="0" w:name="_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7" w:right="41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7" w:right="41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IV.4) PUBBLICAZIONI</w:t>
      </w:r>
    </w:p>
    <w:tbl>
      <w:tblPr>
        <w:tblStyle w:val="Table13"/>
        <w:tblW w:w="10188.0" w:type="dxa"/>
        <w:jc w:val="left"/>
        <w:tblInd w:w="0.0" w:type="dxa"/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Garamond" w:cs="Garamond" w:eastAsia="Garamond" w:hAnsi="Garamond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Il presente bando, ai sensi dell’art. 72 D.lgs. n. 50/2016, è pubblicato su: 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G.U.R.I.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profilo di committenza: </w:t>
            </w:r>
            <w:hyperlink r:id="rId10">
              <w:r w:rsidDel="00000000" w:rsidR="00000000" w:rsidRPr="00000000">
                <w:rPr>
                  <w:rFonts w:ascii="Garamond" w:cs="Garamond" w:eastAsia="Garamond" w:hAnsi="Garamond"/>
                  <w:color w:val="0000ff"/>
                  <w:sz w:val="24"/>
                  <w:szCs w:val="24"/>
                  <w:u w:val="single"/>
                  <w:rtl w:val="0"/>
                </w:rPr>
                <w:t xml:space="preserve">www.comune.santantimo.na.it</w:t>
              </w:r>
            </w:hyperlink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sito internet Ministero Infrastrutture e Trasporti (MIT): </w:t>
            </w:r>
            <w:hyperlink r:id="rId11">
              <w:r w:rsidDel="00000000" w:rsidR="00000000" w:rsidRPr="00000000">
                <w:rPr>
                  <w:rFonts w:ascii="Garamond" w:cs="Garamond" w:eastAsia="Garamond" w:hAnsi="Garamond"/>
                  <w:color w:val="0000ff"/>
                  <w:sz w:val="24"/>
                  <w:szCs w:val="24"/>
                  <w:u w:val="single"/>
                  <w:rtl w:val="0"/>
                </w:rPr>
                <w:t xml:space="preserve">www.serviziocontrattipubblici.it</w:t>
              </w:r>
            </w:hyperlink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piattaforma ASMECOMM: </w:t>
            </w:r>
            <w:hyperlink r:id="rId12">
              <w:r w:rsidDel="00000000" w:rsidR="00000000" w:rsidRPr="00000000">
                <w:rPr>
                  <w:rFonts w:ascii="Garamond" w:cs="Garamond" w:eastAsia="Garamond" w:hAnsi="Garamond"/>
                  <w:color w:val="0000ff"/>
                  <w:sz w:val="24"/>
                  <w:szCs w:val="24"/>
                  <w:u w:val="single"/>
                  <w:rtl w:val="0"/>
                </w:rPr>
                <w:t xml:space="preserve">www.asmecomm.it</w:t>
              </w:r>
            </w:hyperlink>
            <w:r w:rsidDel="00000000" w:rsidR="00000000" w:rsidRPr="00000000">
              <w:rPr>
                <w:rFonts w:ascii="Garamond" w:cs="Garamond" w:eastAsia="Garamond" w:hAnsi="Garamond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22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22" w:firstLine="0"/>
        <w:jc w:val="right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Il Responsabile del Procedimento (R.U.P.)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22" w:firstLine="0"/>
        <w:jc w:val="right"/>
        <w:rPr>
          <w:rFonts w:ascii="Garamond" w:cs="Garamond" w:eastAsia="Garamond" w:hAnsi="Garamond"/>
          <w:b w:val="1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Paolo CALABRÒ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22" w:firstLine="0"/>
        <w:jc w:val="right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  <w:font w:name="Cambria Math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  <w:rtl w:val="0"/>
      </w:rPr>
      <w:t xml:space="preserve">Pag.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24"/>
        <w:szCs w:val="24"/>
        <w:rtl w:val="0"/>
      </w:rPr>
      <w:t xml:space="preserve"> a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pict>
        <v:shape id="PowerPlusWaterMarkObject1" style="position:absolute;width:412.0pt;height:247.0pt;rotation:315;z-index:-503316481;mso-position-horizontal-relative:left-margin-area;mso-position-horizontal:center;mso-position-vertical-relative:top-margin-area;mso-position-vertical:center;" fillcolor="#c0c0c0" stroked="f" type="#_x0000_t136">
          <v:fill angle="0" opacity="32768f"/>
          <v:textpath fitshape="t" string="BOZZA" style="font-family:&amp;quot;&quot;&amp;quot&quot;&amp;quot;;font-size:1pt;"/>
        </v:shape>
      </w:pict>
    </w:r>
    <w:r w:rsidDel="00000000" w:rsidR="00000000" w:rsidRPr="00000000">
      <w:rPr>
        <w:rtl w:val="0"/>
      </w:rPr>
    </w:r>
  </w:p>
  <w:tbl>
    <w:tblPr>
      <w:tblStyle w:val="Table14"/>
      <w:tblW w:w="10034.0" w:type="dxa"/>
      <w:jc w:val="left"/>
      <w:tblInd w:w="0.0" w:type="dxa"/>
      <w:tblLayout w:type="fixed"/>
      <w:tblLook w:val="0000"/>
    </w:tblPr>
    <w:tblGrid>
      <w:gridCol w:w="1362"/>
      <w:gridCol w:w="6435"/>
      <w:gridCol w:w="2237"/>
      <w:tblGridChange w:id="0">
        <w:tblGrid>
          <w:gridCol w:w="1362"/>
          <w:gridCol w:w="6435"/>
          <w:gridCol w:w="2237"/>
        </w:tblGrid>
      </w:tblGridChange>
    </w:tblGrid>
    <w:tr>
      <w:trPr>
        <w:cantSplit w:val="1"/>
        <w:trHeight w:val="1560" w:hRule="atLeast"/>
        <w:tblHeader w:val="0"/>
      </w:trPr>
      <w:tc>
        <w:tcPr>
          <w:tcBorders>
            <w:top w:color="00000a" w:space="0" w:sz="4" w:val="single"/>
            <w:left w:color="00000a" w:space="0" w:sz="4" w:val="single"/>
            <w:bottom w:color="000001" w:space="0" w:sz="4" w:val="single"/>
            <w:right w:color="00000a" w:space="0" w:sz="4" w:val="single"/>
          </w:tcBorders>
          <w:shd w:fill="ffffff" w:val="clear"/>
          <w:vAlign w:val="center"/>
        </w:tcPr>
        <w:p w:rsidR="00000000" w:rsidDel="00000000" w:rsidP="00000000" w:rsidRDefault="00000000" w:rsidRPr="00000000" w14:paraId="0000007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Garamond" w:cs="Garamond" w:eastAsia="Garamond" w:hAnsi="Garamond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Garamond" w:cs="Garamond" w:eastAsia="Garamond" w:hAnsi="Garamond"/>
              <w:color w:val="000000"/>
              <w:sz w:val="24"/>
              <w:szCs w:val="24"/>
            </w:rPr>
            <w:drawing>
              <wp:inline distB="0" distT="0" distL="114300" distR="114300">
                <wp:extent cx="571500" cy="770890"/>
                <wp:effectExtent b="0" l="0" r="0" t="0"/>
                <wp:docPr id="1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a" w:space="0" w:sz="4" w:val="single"/>
            <w:left w:color="00000a" w:space="0" w:sz="4" w:val="single"/>
            <w:bottom w:color="00000a" w:space="0" w:sz="4" w:val="single"/>
            <w:right w:color="00000a" w:space="0" w:sz="4" w:val="single"/>
          </w:tcBorders>
          <w:shd w:fill="ffffff" w:val="clear"/>
        </w:tcPr>
        <w:p w:rsidR="00000000" w:rsidDel="00000000" w:rsidP="00000000" w:rsidRDefault="00000000" w:rsidRPr="00000000" w14:paraId="0000007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40" w:lineRule="auto"/>
            <w:ind w:left="34" w:firstLine="0"/>
            <w:rPr>
              <w:rFonts w:ascii="Garamond" w:cs="Garamond" w:eastAsia="Garamond" w:hAnsi="Garamond"/>
              <w:color w:val="000000"/>
            </w:rPr>
          </w:pPr>
          <w:r w:rsidDel="00000000" w:rsidR="00000000" w:rsidRPr="00000000">
            <w:rPr>
              <w:rFonts w:ascii="Garamond" w:cs="Garamond" w:eastAsia="Garamond" w:hAnsi="Garamond"/>
              <w:color w:val="000000"/>
              <w:rtl w:val="0"/>
            </w:rPr>
            <w:t xml:space="preserve">Asmel Consortile s.c. a r.l.</w:t>
          </w:r>
        </w:p>
        <w:p w:rsidR="00000000" w:rsidDel="00000000" w:rsidP="00000000" w:rsidRDefault="00000000" w:rsidRPr="00000000" w14:paraId="0000007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40" w:lineRule="auto"/>
            <w:ind w:left="34" w:firstLine="0"/>
            <w:rPr>
              <w:rFonts w:ascii="Garamond" w:cs="Garamond" w:eastAsia="Garamond" w:hAnsi="Garamond"/>
              <w:color w:val="000000"/>
            </w:rPr>
          </w:pPr>
          <w:r w:rsidDel="00000000" w:rsidR="00000000" w:rsidRPr="00000000">
            <w:rPr>
              <w:rFonts w:ascii="Garamond" w:cs="Garamond" w:eastAsia="Garamond" w:hAnsi="Garamond"/>
              <w:color w:val="000000"/>
              <w:rtl w:val="0"/>
            </w:rPr>
            <w:t xml:space="preserve">Sede Legale: Via Carlo Cattaneo,9 – Gallarate (VA)</w:t>
          </w:r>
        </w:p>
        <w:p w:rsidR="00000000" w:rsidDel="00000000" w:rsidP="00000000" w:rsidRDefault="00000000" w:rsidRPr="00000000" w14:paraId="0000007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40" w:lineRule="auto"/>
            <w:ind w:left="34" w:firstLine="0"/>
            <w:rPr>
              <w:rFonts w:ascii="Garamond" w:cs="Garamond" w:eastAsia="Garamond" w:hAnsi="Garamond"/>
              <w:color w:val="000000"/>
            </w:rPr>
          </w:pPr>
          <w:r w:rsidDel="00000000" w:rsidR="00000000" w:rsidRPr="00000000">
            <w:rPr>
              <w:rFonts w:ascii="Garamond" w:cs="Garamond" w:eastAsia="Garamond" w:hAnsi="Garamond"/>
              <w:color w:val="000000"/>
              <w:rtl w:val="0"/>
            </w:rPr>
            <w:t xml:space="preserve">Sede Operativa: Centro Direzionale - Isola G8 - Napoli</w:t>
          </w:r>
        </w:p>
        <w:p w:rsidR="00000000" w:rsidDel="00000000" w:rsidP="00000000" w:rsidRDefault="00000000" w:rsidRPr="00000000" w14:paraId="0000007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40" w:lineRule="auto"/>
            <w:ind w:left="34" w:firstLine="0"/>
            <w:rPr>
              <w:rFonts w:ascii="Garamond" w:cs="Garamond" w:eastAsia="Garamond" w:hAnsi="Garamond"/>
              <w:color w:val="000000"/>
            </w:rPr>
          </w:pPr>
          <w:r w:rsidDel="00000000" w:rsidR="00000000" w:rsidRPr="00000000">
            <w:rPr>
              <w:rFonts w:ascii="Garamond" w:cs="Garamond" w:eastAsia="Garamond" w:hAnsi="Garamond"/>
              <w:color w:val="000000"/>
              <w:rtl w:val="0"/>
            </w:rPr>
            <w:t xml:space="preserve">info@asmecomm.it - P.Iva: 12236141003</w:t>
          </w:r>
        </w:p>
        <w:p w:rsidR="00000000" w:rsidDel="00000000" w:rsidP="00000000" w:rsidRDefault="00000000" w:rsidRPr="00000000" w14:paraId="0000007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left="33" w:firstLine="0"/>
            <w:rPr>
              <w:rFonts w:ascii="Garamond" w:cs="Garamond" w:eastAsia="Garamond" w:hAnsi="Garamond"/>
              <w:color w:val="000000"/>
            </w:rPr>
          </w:pPr>
          <w:hyperlink r:id="rId2">
            <w:r w:rsidDel="00000000" w:rsidR="00000000" w:rsidRPr="00000000">
              <w:rPr>
                <w:rFonts w:ascii="Garamond" w:cs="Garamond" w:eastAsia="Garamond" w:hAnsi="Garamond"/>
                <w:b w:val="1"/>
                <w:color w:val="0000ff"/>
                <w:u w:val="single"/>
                <w:rtl w:val="0"/>
              </w:rPr>
              <w:t xml:space="preserve">www.asmecomm.it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a" w:space="0" w:sz="4" w:val="single"/>
            <w:left w:color="00000a" w:space="0" w:sz="4" w:val="single"/>
            <w:bottom w:color="00000a" w:space="0" w:sz="4" w:val="single"/>
            <w:right w:color="00000a" w:space="0" w:sz="4" w:val="single"/>
          </w:tcBorders>
          <w:shd w:fill="ffffff" w:val="clear"/>
        </w:tcPr>
        <w:p w:rsidR="00000000" w:rsidDel="00000000" w:rsidP="00000000" w:rsidRDefault="00000000" w:rsidRPr="00000000" w14:paraId="0000007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left="33" w:firstLine="0"/>
            <w:rPr>
              <w:rFonts w:ascii="Garamond" w:cs="Garamond" w:eastAsia="Garamond" w:hAnsi="Garamond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Garamond" w:cs="Garamond" w:eastAsia="Garamond" w:hAnsi="Garamond"/>
              <w:sz w:val="24"/>
              <w:szCs w:val="24"/>
            </w:rPr>
            <w:drawing>
              <wp:inline distB="114300" distT="114300" distL="114300" distR="114300">
                <wp:extent cx="1276350" cy="152400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152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♣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Cambria Math" w:cs="Cambria Math" w:eastAsia="Cambria Math" w:hAnsi="Cambria Math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♣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Cambria Math" w:cs="Cambria Math" w:eastAsia="Cambria Math" w:hAnsi="Cambria Math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♣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3"/>
      <w:numFmt w:val="bullet"/>
      <w:lvlText w:val="-"/>
      <w:lvlJc w:val="left"/>
      <w:pPr>
        <w:ind w:left="720" w:hanging="360"/>
      </w:pPr>
      <w:rPr>
        <w:rFonts w:ascii="Garamond" w:cs="Garamond" w:eastAsia="Garamond" w:hAnsi="Garamond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52.0" w:type="dxa"/>
        <w:left w:w="11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serviziocontrattipubblici.it" TargetMode="External"/><Relationship Id="rId10" Type="http://schemas.openxmlformats.org/officeDocument/2006/relationships/hyperlink" Target="http://www.comunexxxxxxxxxx.it" TargetMode="External"/><Relationship Id="rId13" Type="http://schemas.openxmlformats.org/officeDocument/2006/relationships/header" Target="header1.xml"/><Relationship Id="rId12" Type="http://schemas.openxmlformats.org/officeDocument/2006/relationships/hyperlink" Target="http://www.asmecomm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asmecomm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www.comunexxxxxxxxxx.it" TargetMode="External"/><Relationship Id="rId7" Type="http://schemas.openxmlformats.org/officeDocument/2006/relationships/hyperlink" Target="http://www.asmecomm.it" TargetMode="External"/><Relationship Id="rId8" Type="http://schemas.openxmlformats.org/officeDocument/2006/relationships/hyperlink" Target="http://www.asmecomm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http://www.asmecomm.it" TargetMode="External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